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100" w:after="100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>
          <w:bCs/>
          <w:spacing w:val="-1"/>
          <w:sz w:val="28"/>
          <w:szCs w:val="28"/>
        </w:rPr>
        <w:t>ДОГОВОР О ЗАДАТКЕ ___</w:t>
      </w:r>
    </w:p>
    <w:p>
      <w:pPr>
        <w:pStyle w:val="Normal"/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Arial" w:cs="Courier New"/>
          <w:color w:val="auto"/>
          <w:spacing w:val="-4"/>
          <w:kern w:val="2"/>
          <w:sz w:val="22"/>
          <w:szCs w:val="22"/>
          <w:lang w:val="ru-RU" w:eastAsia="zh-CN" w:bidi="hi-IN"/>
        </w:rPr>
        <w:t xml:space="preserve"> </w:t>
      </w:r>
      <w:r>
        <w:rPr>
          <w:rFonts w:eastAsia="Arial" w:cs="Courier New"/>
          <w:color w:val="auto"/>
          <w:spacing w:val="-4"/>
          <w:kern w:val="2"/>
          <w:sz w:val="22"/>
          <w:szCs w:val="22"/>
          <w:lang w:val="ru-RU" w:eastAsia="zh-CN" w:bidi="hi-IN"/>
        </w:rPr>
        <w:t>СНТ "Мичуринец- 2"</w:t>
      </w:r>
      <w:r>
        <w:rPr>
          <w:color w:val="auto"/>
          <w:spacing w:val="-4"/>
          <w:sz w:val="22"/>
          <w:szCs w:val="22"/>
        </w:rPr>
        <w:tab/>
        <w:t xml:space="preserve">                                                                         </w:t>
      </w:r>
      <w:r>
        <w:rPr>
          <w:rFonts w:eastAsia="Arial" w:cs="Courier New"/>
          <w:color w:val="auto"/>
          <w:spacing w:val="-4"/>
          <w:kern w:val="2"/>
          <w:sz w:val="22"/>
          <w:szCs w:val="22"/>
          <w:lang w:val="ru-RU" w:eastAsia="zh-CN" w:bidi="hi-IN"/>
        </w:rPr>
        <w:t>\</w:t>
      </w:r>
      <w:r>
        <w:rPr>
          <w:color w:val="auto"/>
          <w:spacing w:val="13"/>
          <w:sz w:val="22"/>
          <w:szCs w:val="22"/>
        </w:rPr>
        <w:tab/>
      </w:r>
      <w:r>
        <w:rPr>
          <w:color w:val="auto"/>
          <w:spacing w:val="-4"/>
          <w:sz w:val="22"/>
          <w:szCs w:val="22"/>
          <w:lang w:eastAsia="ru-RU"/>
        </w:rPr>
        <w:t>«</w:t>
      </w:r>
      <w:r>
        <w:rPr>
          <w:color w:val="auto"/>
          <w:spacing w:val="-4"/>
          <w:sz w:val="22"/>
          <w:szCs w:val="22"/>
        </w:rPr>
        <w:t>___</w:t>
      </w:r>
      <w:r>
        <w:rPr>
          <w:color w:val="auto"/>
          <w:spacing w:val="-4"/>
          <w:sz w:val="22"/>
          <w:szCs w:val="22"/>
          <w:lang w:eastAsia="ru-RU"/>
        </w:rPr>
        <w:t xml:space="preserve">» </w:t>
      </w:r>
      <w:r>
        <w:rPr>
          <w:color w:val="auto"/>
          <w:spacing w:val="-4"/>
          <w:sz w:val="22"/>
          <w:szCs w:val="22"/>
        </w:rPr>
        <w:t>________</w:t>
      </w:r>
      <w:r>
        <w:rPr>
          <w:color w:val="auto"/>
          <w:spacing w:val="-4"/>
          <w:sz w:val="22"/>
          <w:szCs w:val="22"/>
          <w:lang w:eastAsia="ru-RU"/>
        </w:rPr>
        <w:t xml:space="preserve"> 2021</w:t>
      </w:r>
      <w:r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eastAsia="ru-RU"/>
        </w:rPr>
        <w:t>г.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color w:val="auto"/>
          <w:spacing w:val="-4"/>
          <w:sz w:val="22"/>
          <w:szCs w:val="22"/>
          <w:lang w:eastAsia="ru-RU"/>
        </w:rPr>
      </w:pPr>
      <w:r>
        <w:rPr>
          <w:color w:val="auto"/>
          <w:spacing w:val="-4"/>
          <w:sz w:val="22"/>
          <w:szCs w:val="22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pacing w:val="13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Гражданин РФ, </w:t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Никодимов Сергей Васильевич (25.09.1964 года рождения, место рождения пос. Студенческий Белоярского р-на Свердловской обл., ИНН 720312240874, СНИЛС 055-897-951-32, адрес: г. Тюмень, ул. Текстильная, д. 7, кв. 73)</w:t>
      </w:r>
      <w:r>
        <w:rPr>
          <w:color w:val="auto"/>
          <w:sz w:val="22"/>
          <w:szCs w:val="22"/>
        </w:rPr>
        <w:t xml:space="preserve">, в лице финансового управляющего Шуховцева Данила Михайловича, действующего на основании решения </w:t>
      </w:r>
      <w:r>
        <w:rPr>
          <w:bCs/>
          <w:color w:val="auto"/>
          <w:sz w:val="22"/>
          <w:szCs w:val="22"/>
        </w:rPr>
        <w:t>Арбитражного суда Тюменской области от 26.11.2019 г. по делу № А70-18487/2019</w:t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</w:t>
      </w:r>
      <w:r>
        <w:rPr>
          <w:color w:val="auto"/>
          <w:spacing w:val="13"/>
          <w:sz w:val="22"/>
          <w:szCs w:val="22"/>
        </w:rPr>
        <w:t>«Организатор торгов»,</w:t>
      </w:r>
      <w:r>
        <w:rPr>
          <w:color w:val="auto"/>
          <w:spacing w:val="5"/>
          <w:sz w:val="22"/>
          <w:szCs w:val="22"/>
        </w:rPr>
        <w:t xml:space="preserve"> </w:t>
      </w:r>
      <w:r>
        <w:rPr>
          <w:color w:val="auto"/>
          <w:spacing w:val="-1"/>
          <w:sz w:val="22"/>
          <w:szCs w:val="22"/>
        </w:rPr>
        <w:t xml:space="preserve">и </w:t>
      </w:r>
      <w:r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___________________________________________________________________________________________________________________________________________________________________,</w:t>
      </w:r>
      <w:r>
        <w:rPr>
          <w:color w:val="auto"/>
          <w:spacing w:val="1"/>
          <w:sz w:val="22"/>
          <w:szCs w:val="22"/>
        </w:rPr>
        <w:t xml:space="preserve"> именуемый далее "Претендент", </w:t>
      </w:r>
      <w:r>
        <w:rPr>
          <w:color w:val="auto"/>
          <w:sz w:val="22"/>
          <w:szCs w:val="22"/>
        </w:rPr>
        <w:t xml:space="preserve">с другой стороны, </w:t>
      </w:r>
      <w:r>
        <w:rPr>
          <w:color w:val="auto"/>
          <w:spacing w:val="-1"/>
          <w:sz w:val="22"/>
          <w:szCs w:val="22"/>
        </w:rPr>
        <w:t>заключили настоящий договор о нижеследующем: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color w:val="auto"/>
          <w:spacing w:val="-2"/>
          <w:sz w:val="22"/>
          <w:szCs w:val="22"/>
        </w:rPr>
      </w:pPr>
      <w:r>
        <w:rPr>
          <w:b/>
          <w:bCs/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auto"/>
          <w:spacing w:val="-2"/>
          <w:sz w:val="22"/>
          <w:szCs w:val="22"/>
        </w:rPr>
        <w:t>1.   Предмет договора</w:t>
      </w:r>
    </w:p>
    <w:p>
      <w:pPr>
        <w:pStyle w:val="Normal"/>
        <w:rPr>
          <w:sz w:val="28"/>
          <w:szCs w:val="28"/>
        </w:rPr>
      </w:pPr>
      <w:r>
        <w:rPr>
          <w:color w:val="auto"/>
          <w:spacing w:val="3"/>
          <w:sz w:val="22"/>
          <w:szCs w:val="22"/>
        </w:rPr>
        <w:t>1.1.</w:t>
        <w:tab/>
        <w:t>Для участия в первых торгах по продаже следующего имущества, реализуемого единым Лотом: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tbl>
      <w:tblPr>
        <w:tblW w:w="10216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39"/>
        <w:gridCol w:w="5428"/>
        <w:gridCol w:w="6"/>
        <w:gridCol w:w="2243"/>
      </w:tblGrid>
      <w:tr>
        <w:trPr>
          <w:trHeight w:val="704" w:hRule="atLeast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№ </w:t>
            </w:r>
            <w:r>
              <w:rPr>
                <w:b/>
                <w:color w:val="auto"/>
                <w:sz w:val="22"/>
                <w:szCs w:val="22"/>
              </w:rPr>
              <w:t>п/п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2"/>
                <w:szCs w:val="22"/>
              </w:rPr>
              <w:t>Начальная продажная стоимость, руб.</w:t>
            </w:r>
          </w:p>
        </w:tc>
      </w:tr>
      <w:tr>
        <w:trPr>
          <w:trHeight w:val="1425" w:hRule="atLeast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2"/>
                <w:szCs w:val="22"/>
              </w:rPr>
              <w:t>Лот № 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right="283" w:hang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2/3 доли в праве собственности на земельный участок площадью 444 м2 , кадастровый номер 72:17:0404002:194,расположенного по адресу: Тюменская область, Тюменский район, СНТ "Мичуринец- 2", ул. Горная, 48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ind w:right="283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</w:r>
          </w:p>
        </w:tc>
      </w:tr>
      <w:tr>
        <w:trPr>
          <w:trHeight w:val="488" w:hRule="atLeast"/>
        </w:trPr>
        <w:tc>
          <w:tcPr>
            <w:tcW w:w="7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ind w:right="283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right="283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pacing w:val="3"/>
          <w:sz w:val="22"/>
          <w:szCs w:val="22"/>
        </w:rPr>
      </w:pPr>
      <w:r>
        <w:rPr>
          <w:color w:val="auto"/>
          <w:spacing w:val="3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pacing w:val="3"/>
          <w:sz w:val="22"/>
          <w:szCs w:val="22"/>
        </w:rPr>
        <w:t xml:space="preserve">претендент обязуется перечислить на расчетный счет Организатора </w:t>
      </w:r>
      <w:r>
        <w:rPr>
          <w:color w:val="auto"/>
          <w:spacing w:val="5"/>
          <w:sz w:val="22"/>
          <w:szCs w:val="22"/>
        </w:rPr>
        <w:t xml:space="preserve">торгов задаток в размере 10% от начальной цены </w:t>
      </w:r>
      <w:r>
        <w:rPr>
          <w:rFonts w:eastAsia="Arial" w:cs="Courier New"/>
          <w:color w:val="auto"/>
          <w:spacing w:val="5"/>
          <w:kern w:val="2"/>
          <w:sz w:val="22"/>
          <w:szCs w:val="22"/>
          <w:lang w:val="ru-RU" w:eastAsia="zh-CN" w:bidi="hi-IN"/>
        </w:rPr>
        <w:t>на интервале</w:t>
      </w:r>
      <w:r>
        <w:rPr>
          <w:color w:val="auto"/>
          <w:spacing w:val="5"/>
          <w:sz w:val="22"/>
          <w:szCs w:val="22"/>
        </w:rPr>
        <w:t>, а именно</w:t>
      </w:r>
      <w:r>
        <w:rPr>
          <w:b/>
          <w:bCs/>
          <w:color w:val="auto"/>
          <w:spacing w:val="5"/>
          <w:sz w:val="22"/>
          <w:szCs w:val="22"/>
        </w:rPr>
        <w:t xml:space="preserve">  рублей   коп, </w:t>
      </w:r>
      <w:r>
        <w:rPr>
          <w:color w:val="auto"/>
          <w:spacing w:val="5"/>
          <w:sz w:val="22"/>
          <w:szCs w:val="22"/>
        </w:rPr>
        <w:t xml:space="preserve">а Организатор торгов обязуется принять </w:t>
      </w:r>
      <w:r>
        <w:rPr>
          <w:color w:val="auto"/>
          <w:spacing w:val="-2"/>
          <w:sz w:val="22"/>
          <w:szCs w:val="22"/>
        </w:rPr>
        <w:t xml:space="preserve">данный задаток. </w:t>
      </w:r>
    </w:p>
    <w:p>
      <w:pPr>
        <w:pStyle w:val="Style16"/>
        <w:tabs>
          <w:tab w:val="clear" w:pos="720"/>
          <w:tab w:val="left" w:pos="527" w:leader="none"/>
        </w:tabs>
        <w:spacing w:before="0" w:after="0"/>
        <w:jc w:val="both"/>
        <w:rPr>
          <w:sz w:val="28"/>
          <w:szCs w:val="28"/>
        </w:rPr>
      </w:pPr>
      <w:r>
        <w:rPr>
          <w:b/>
          <w:color w:val="auto"/>
          <w:spacing w:val="-2"/>
          <w:sz w:val="22"/>
          <w:szCs w:val="22"/>
        </w:rPr>
        <w:t xml:space="preserve">Реквизиты для перечисления задатка: 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rPr>
          <w:rFonts w:ascii="Times New Roman" w:hAnsi="Times New Roman"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Получатель: </w:t>
      </w:r>
      <w:r>
        <w:rPr>
          <w:rFonts w:eastAsia="Times New Roman"/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 Арбитражный управляющий Шуховцев Данил Михайлович (ИНН 744720766087)</w:t>
        <w:br/>
        <w:t xml:space="preserve">р/с 40802810872000059338 Наименование Банка ЧЕЛЯБИНСКОЕ ОТДЕЛЕНИЕ N8597 ПАО СБЕРБАНК Адрес ВСП г. Челябинск, пр. Комсомольский, 70в, БИК 047501602, К/С 30101810700000000602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auto"/>
          <w:sz w:val="22"/>
          <w:szCs w:val="22"/>
          <w:lang w:eastAsia="ru-RU"/>
        </w:rPr>
        <w:t>1.2.</w:t>
        <w:tab/>
      </w:r>
      <w:r>
        <w:rPr>
          <w:color w:val="auto"/>
          <w:spacing w:val="1"/>
          <w:sz w:val="22"/>
          <w:szCs w:val="22"/>
        </w:rPr>
        <w:t>Сумма задатка вносится в счет обеспечения обязательств Претендента, связанных</w:t>
        <w:br/>
      </w:r>
      <w:r>
        <w:rPr>
          <w:color w:val="auto"/>
          <w:spacing w:val="2"/>
          <w:sz w:val="22"/>
          <w:szCs w:val="22"/>
        </w:rPr>
        <w:t>с участием в торгах, в том числе по оплате приобретенного имущества, в случае признания</w:t>
        <w:br/>
      </w:r>
      <w:r>
        <w:rPr>
          <w:color w:val="auto"/>
          <w:spacing w:val="3"/>
          <w:sz w:val="22"/>
          <w:szCs w:val="22"/>
        </w:rPr>
        <w:t xml:space="preserve">Претендента победителем торгов </w:t>
      </w:r>
      <w:r>
        <w:rPr>
          <w:color w:val="auto"/>
          <w:spacing w:val="8"/>
          <w:sz w:val="22"/>
          <w:szCs w:val="22"/>
        </w:rPr>
        <w:t xml:space="preserve">на условиях Предложений о порядке, сроках и условиях продажи имущества, </w:t>
      </w:r>
      <w:r>
        <w:rPr>
          <w:color w:val="auto"/>
          <w:sz w:val="22"/>
          <w:szCs w:val="22"/>
        </w:rPr>
        <w:t>Заявки на участие в торгах, поданной Претендентом.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20"/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color w:val="auto"/>
          <w:spacing w:val="2"/>
          <w:sz w:val="22"/>
          <w:szCs w:val="22"/>
        </w:rPr>
        <w:t>В    случае    признания    Претендента    Победителем    торгов    сумма    задатка</w:t>
        <w:br/>
      </w:r>
      <w:r>
        <w:rPr>
          <w:color w:val="auto"/>
          <w:sz w:val="22"/>
          <w:szCs w:val="22"/>
        </w:rPr>
        <w:t>засчитывается в счет оплаты приобретенного на торгах имущества.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1181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auto"/>
          <w:spacing w:val="-1"/>
          <w:sz w:val="22"/>
          <w:szCs w:val="22"/>
        </w:rPr>
        <w:t>2.   Передача задатка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20"/>
          <w:tab w:val="left" w:pos="1177" w:leader="none"/>
        </w:tabs>
        <w:ind w:left="0" w:hanging="0"/>
        <w:jc w:val="both"/>
        <w:rPr>
          <w:sz w:val="28"/>
          <w:szCs w:val="28"/>
        </w:rPr>
      </w:pPr>
      <w:r>
        <w:rPr>
          <w:color w:val="auto"/>
          <w:spacing w:val="-1"/>
          <w:sz w:val="22"/>
          <w:szCs w:val="22"/>
        </w:rPr>
        <w:t xml:space="preserve">Претендент перечисляет или вносит задаток в срок, обеспечивающий </w:t>
      </w:r>
      <w:r>
        <w:rPr>
          <w:b/>
          <w:color w:val="auto"/>
          <w:spacing w:val="-1"/>
          <w:sz w:val="22"/>
          <w:szCs w:val="22"/>
        </w:rPr>
        <w:t xml:space="preserve">поступление </w:t>
      </w:r>
      <w:r>
        <w:rPr>
          <w:color w:val="auto"/>
          <w:spacing w:val="3"/>
          <w:sz w:val="22"/>
          <w:szCs w:val="22"/>
        </w:rPr>
        <w:t xml:space="preserve">средств, не позднее последнего дня срока приема заявок, указанного в информационном сообщении о </w:t>
      </w:r>
      <w:r>
        <w:rPr>
          <w:color w:val="auto"/>
          <w:spacing w:val="-2"/>
          <w:sz w:val="22"/>
          <w:szCs w:val="22"/>
        </w:rPr>
        <w:t>проведении торгов.</w:t>
      </w:r>
    </w:p>
    <w:p>
      <w:pPr>
        <w:pStyle w:val="Normal"/>
        <w:shd w:val="clear" w:color="auto" w:fill="FFFFFF"/>
        <w:tabs>
          <w:tab w:val="clear" w:pos="720"/>
          <w:tab w:val="left" w:pos="1177" w:leader="none"/>
        </w:tabs>
        <w:jc w:val="both"/>
        <w:rPr>
          <w:sz w:val="28"/>
          <w:szCs w:val="28"/>
        </w:rPr>
      </w:pPr>
      <w:r>
        <w:rPr>
          <w:color w:val="auto"/>
          <w:spacing w:val="3"/>
          <w:sz w:val="22"/>
          <w:szCs w:val="22"/>
        </w:rPr>
        <w:t>2.2.</w:t>
        <w:tab/>
        <w:t>На денежные средства, переданные в соответствии с настоящим договором, проценты</w:t>
      </w:r>
      <w:r>
        <w:rPr>
          <w:color w:val="auto"/>
          <w:spacing w:val="-1"/>
          <w:sz w:val="22"/>
          <w:szCs w:val="22"/>
        </w:rPr>
        <w:t xml:space="preserve"> не начисляются.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auto"/>
          <w:spacing w:val="-1"/>
          <w:sz w:val="22"/>
          <w:szCs w:val="22"/>
        </w:rPr>
        <w:t>3.   Возврат задатка</w:t>
      </w:r>
    </w:p>
    <w:p>
      <w:pPr>
        <w:pStyle w:val="Normal"/>
        <w:shd w:val="clear" w:color="auto" w:fill="FFFFFF"/>
        <w:tabs>
          <w:tab w:val="clear" w:pos="720"/>
          <w:tab w:val="left" w:pos="1163" w:leader="none"/>
        </w:tabs>
        <w:jc w:val="both"/>
        <w:rPr>
          <w:sz w:val="28"/>
          <w:szCs w:val="28"/>
        </w:rPr>
      </w:pPr>
      <w:r>
        <w:rPr>
          <w:color w:val="auto"/>
          <w:spacing w:val="-9"/>
          <w:sz w:val="22"/>
          <w:szCs w:val="22"/>
        </w:rPr>
        <w:t>3.1.</w:t>
      </w:r>
      <w:r>
        <w:rPr>
          <w:color w:val="auto"/>
          <w:sz w:val="22"/>
          <w:szCs w:val="22"/>
        </w:rPr>
        <w:t xml:space="preserve"> Организатор   торгов   обязуется   возвратить   задаток   Претенденту   в   случаях, предусмотренных</w:t>
      </w:r>
      <w:r>
        <w:rPr>
          <w:color w:val="auto"/>
          <w:spacing w:val="-1"/>
          <w:sz w:val="22"/>
          <w:szCs w:val="22"/>
        </w:rPr>
        <w:t xml:space="preserve"> настоящим договором, следующим образом: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1440" w:leader="none"/>
          <w:tab w:val="left" w:pos="2250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3"/>
          <w:sz w:val="22"/>
          <w:szCs w:val="22"/>
        </w:rPr>
        <w:t>в случае наличия у Претендента расчетного счета возврат денежных средств</w:t>
        <w:br/>
      </w:r>
      <w:r>
        <w:rPr>
          <w:color w:val="auto"/>
          <w:spacing w:val="-1"/>
          <w:sz w:val="22"/>
          <w:szCs w:val="22"/>
        </w:rPr>
        <w:t>производится на расчетный (лицевой) счет Претендента;</w:t>
      </w:r>
    </w:p>
    <w:p>
      <w:pPr>
        <w:pStyle w:val="Normal"/>
        <w:shd w:val="clear" w:color="auto" w:fill="FFFFFF"/>
        <w:tabs>
          <w:tab w:val="clear" w:pos="720"/>
          <w:tab w:val="left" w:pos="1163" w:leader="none"/>
        </w:tabs>
        <w:jc w:val="both"/>
        <w:rPr>
          <w:sz w:val="28"/>
          <w:szCs w:val="28"/>
        </w:rPr>
      </w:pPr>
      <w:r>
        <w:rPr>
          <w:color w:val="auto"/>
          <w:spacing w:val="-10"/>
          <w:sz w:val="22"/>
          <w:szCs w:val="22"/>
        </w:rPr>
        <w:t>3.2.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pacing w:val="3"/>
          <w:sz w:val="22"/>
          <w:szCs w:val="22"/>
        </w:rPr>
        <w:t>Задаток возвращается</w:t>
      </w:r>
      <w:r>
        <w:rPr>
          <w:color w:val="auto"/>
          <w:spacing w:val="-1"/>
          <w:sz w:val="22"/>
          <w:szCs w:val="22"/>
        </w:rPr>
        <w:t xml:space="preserve"> в случае: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1440" w:leader="none"/>
          <w:tab w:val="left" w:pos="2239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-1"/>
          <w:sz w:val="22"/>
          <w:szCs w:val="22"/>
        </w:rPr>
        <w:t>Отказа Претенденту в участии в Торгах;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1440" w:leader="none"/>
          <w:tab w:val="left" w:pos="2239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z w:val="22"/>
          <w:szCs w:val="22"/>
        </w:rPr>
        <w:t>Непризнания Участника торгов Победителем торгов;</w:t>
      </w:r>
    </w:p>
    <w:p>
      <w:pPr>
        <w:pStyle w:val="Normal"/>
        <w:shd w:val="clear" w:color="auto" w:fill="FFFFFF"/>
        <w:tabs>
          <w:tab w:val="clear" w:pos="720"/>
          <w:tab w:val="left" w:pos="1519" w:leader="none"/>
        </w:tabs>
        <w:jc w:val="both"/>
        <w:rPr>
          <w:color w:val="000000"/>
          <w:sz w:val="28"/>
          <w:szCs w:val="28"/>
        </w:rPr>
      </w:pPr>
      <w:r>
        <w:rPr>
          <w:color w:val="auto"/>
          <w:sz w:val="22"/>
          <w:szCs w:val="22"/>
        </w:rPr>
        <w:t>3.3.     Задаток не возвращается в случае: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20"/>
          <w:tab w:val="left" w:pos="1440" w:leader="none"/>
          <w:tab w:val="left" w:pos="2207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2"/>
          <w:sz w:val="22"/>
          <w:szCs w:val="22"/>
        </w:rPr>
        <w:t xml:space="preserve">Отказа или уклонения Победителя торгов от подписания Протокола о ходе и результатах </w:t>
      </w:r>
      <w:r>
        <w:rPr>
          <w:color w:val="auto"/>
          <w:sz w:val="22"/>
          <w:szCs w:val="22"/>
        </w:rPr>
        <w:t>торгов;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20"/>
          <w:tab w:val="left" w:pos="1440" w:leader="none"/>
          <w:tab w:val="left" w:pos="2207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5"/>
          <w:sz w:val="22"/>
          <w:szCs w:val="22"/>
        </w:rPr>
        <w:t>Отказа или уклонения Победителя торгов от подписания Договора купли-</w:t>
        <w:br/>
      </w:r>
      <w:r>
        <w:rPr>
          <w:color w:val="auto"/>
          <w:sz w:val="22"/>
          <w:szCs w:val="22"/>
        </w:rPr>
        <w:t>продажи имущества, выставленного на Торги;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20"/>
          <w:tab w:val="left" w:pos="1440" w:leader="none"/>
          <w:tab w:val="left" w:pos="2207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7"/>
          <w:sz w:val="22"/>
          <w:szCs w:val="22"/>
        </w:rPr>
        <w:t xml:space="preserve">Неоплаты Победителем торгов имущества в установленный </w:t>
      </w:r>
      <w:r>
        <w:rPr>
          <w:color w:val="auto"/>
          <w:sz w:val="22"/>
          <w:szCs w:val="22"/>
        </w:rPr>
        <w:t>Договором купли-продажи срок.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auto"/>
          <w:spacing w:val="-1"/>
          <w:sz w:val="22"/>
          <w:szCs w:val="22"/>
        </w:rPr>
        <w:t>4.   Иные условия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1116" w:leader="none"/>
        </w:tabs>
        <w:jc w:val="both"/>
        <w:rPr>
          <w:sz w:val="28"/>
          <w:szCs w:val="28"/>
        </w:rPr>
      </w:pPr>
      <w:r>
        <w:rPr>
          <w:color w:val="auto"/>
          <w:spacing w:val="10"/>
          <w:sz w:val="22"/>
          <w:szCs w:val="22"/>
        </w:rPr>
        <w:t>Настоящий договор вступает в силу с момента его подписания сторонами и</w:t>
        <w:br/>
      </w:r>
      <w:r>
        <w:rPr>
          <w:color w:val="auto"/>
          <w:spacing w:val="-1"/>
          <w:sz w:val="22"/>
          <w:szCs w:val="22"/>
        </w:rPr>
        <w:t>прекращает действие надлежащим исполнением.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1116" w:leader="none"/>
        </w:tabs>
        <w:jc w:val="both"/>
        <w:rPr>
          <w:sz w:val="28"/>
          <w:szCs w:val="28"/>
        </w:rPr>
      </w:pPr>
      <w:r>
        <w:rPr>
          <w:color w:val="auto"/>
          <w:spacing w:val="5"/>
          <w:sz w:val="22"/>
          <w:szCs w:val="22"/>
        </w:rPr>
        <w:t>Споры, возникшие в результате действия настоящего договора, разрешаются в</w:t>
        <w:br/>
      </w:r>
      <w:r>
        <w:rPr>
          <w:color w:val="auto"/>
          <w:sz w:val="22"/>
          <w:szCs w:val="22"/>
        </w:rPr>
        <w:t>установленном порядке судом или арбитражным судом.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auto"/>
          <w:spacing w:val="7"/>
          <w:sz w:val="22"/>
          <w:szCs w:val="22"/>
        </w:rPr>
        <w:t>Настоящий Договор составлен в 2 (Двух) экземплярах, имеющих одинаковую</w:t>
        <w:br/>
      </w:r>
      <w:r>
        <w:rPr>
          <w:color w:val="auto"/>
          <w:spacing w:val="8"/>
          <w:sz w:val="22"/>
          <w:szCs w:val="22"/>
        </w:rPr>
        <w:t>юридическую силу, причем один экземпляр находятся у Организатора торгов и один у</w:t>
        <w:br/>
      </w:r>
      <w:r>
        <w:rPr>
          <w:color w:val="auto"/>
          <w:spacing w:val="-2"/>
          <w:sz w:val="22"/>
          <w:szCs w:val="22"/>
        </w:rPr>
        <w:t>Претенден</w:t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b/>
          <w:bCs/>
          <w:color w:val="auto"/>
          <w:spacing w:val="-1"/>
          <w:sz w:val="22"/>
          <w:szCs w:val="22"/>
        </w:rPr>
        <w:t>5.   Реквизиты сторон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b/>
          <w:b/>
        </w:rPr>
      </w:pPr>
      <w:r>
        <w:rPr>
          <w:b/>
          <w:color w:val="auto"/>
          <w:sz w:val="22"/>
          <w:szCs w:val="22"/>
        </w:rPr>
        <w:t>Организатор торгов: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Финансовый управляющий </w:t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Никодимова Сергея Васильевича </w:t>
      </w:r>
      <w:r>
        <w:rPr>
          <w:color w:val="auto"/>
          <w:sz w:val="22"/>
          <w:szCs w:val="22"/>
        </w:rPr>
        <w:t>Шуховцев Данил Михайлович,</w:t>
      </w:r>
      <w:r>
        <w:rPr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действующий на основании решения </w:t>
      </w:r>
      <w:r>
        <w:rPr>
          <w:caps w:val="false"/>
          <w:smallCaps w:val="false"/>
          <w:color w:val="auto"/>
          <w:spacing w:val="0"/>
          <w:sz w:val="22"/>
          <w:szCs w:val="22"/>
        </w:rPr>
        <w:t xml:space="preserve"> Республики Татарстан от 17.02.2020г. по делу № А65-37876/2019 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Реквизиты счета: 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/>
          <w:b/>
          <w:bCs/>
          <w:i w:val="false"/>
          <w:caps w:val="false"/>
          <w:smallCaps w:val="false"/>
          <w:color w:val="auto"/>
          <w:spacing w:val="-2"/>
          <w:sz w:val="22"/>
          <w:szCs w:val="22"/>
        </w:rPr>
        <w:t>Получатель:</w:t>
      </w:r>
      <w:r>
        <w:rPr>
          <w:rFonts w:eastAsia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</w:t>
      </w:r>
      <w:r>
        <w:rPr>
          <w:rFonts w:eastAsia="Times New Roman"/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Арбитражный управляющий Шуховцев Данил Михайлович (ИНН 744720766087)</w:t>
        <w:br/>
        <w:t xml:space="preserve">р/с 40802810872000059338 Наименование Банка 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/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ЧЕЛЯБИНСКОЕ ОТДЕЛЕНИЕ N8597 ПАО СБЕРБАНК Адрес ВСП г. Челябинск, пр. Комсомольский, 70в, БИК 047501602, К/С 30101810700000000602 </w:t>
      </w:r>
      <w:r>
        <w:rPr>
          <w:rFonts w:eastAsia="Times New Roman"/>
          <w:b/>
          <w:bCs/>
          <w:i w:val="false"/>
          <w:caps w:val="false"/>
          <w:smallCaps w:val="false"/>
          <w:color w:val="auto"/>
          <w:spacing w:val="-2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527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b/>
          <w:color w:val="auto"/>
          <w:spacing w:val="-2"/>
          <w:sz w:val="22"/>
          <w:szCs w:val="22"/>
        </w:rPr>
        <w:t>______________________Шуховцев Д.М.</w:t>
      </w:r>
    </w:p>
    <w:p>
      <w:pPr>
        <w:pStyle w:val="Normal"/>
        <w:tabs>
          <w:tab w:val="clear" w:pos="720"/>
          <w:tab w:val="left" w:pos="527" w:leader="none"/>
        </w:tabs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b/>
          <w:color w:val="auto"/>
          <w:sz w:val="22"/>
          <w:szCs w:val="22"/>
        </w:rPr>
        <w:t>Участник торгов: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________________________________________________________________________________________________________________________________________________________</w:t>
      </w:r>
      <w:bookmarkStart w:id="0" w:name="__DdeLink__33925_1573107838"/>
      <w:r>
        <w:rPr>
          <w:b/>
          <w:color w:val="auto"/>
          <w:sz w:val="22"/>
          <w:szCs w:val="22"/>
        </w:rPr>
        <w:t>______________________________________</w:t>
      </w:r>
      <w:bookmarkEnd w:id="0"/>
      <w:r>
        <w:rPr>
          <w:b/>
          <w:color w:val="auto"/>
          <w:sz w:val="22"/>
          <w:szCs w:val="22"/>
        </w:rPr>
        <w:t>______________________________________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100" w:after="100"/>
        <w:rPr>
          <w:rFonts w:ascii="Times New Roman" w:hAnsi="Times New Roman"/>
          <w:color w:val="auto"/>
          <w:sz w:val="22"/>
          <w:szCs w:val="22"/>
        </w:rPr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">
    <w:lvl w:ilvl="0">
      <w:start w:val="2"/>
      <w:numFmt w:val="decimal"/>
      <w:lvlText w:val="%1"/>
      <w:lvlJc w:val="left"/>
      <w:pPr>
        <w:ind w:left="360" w:hanging="360"/>
      </w:pPr>
      <w:rPr>
        <w:sz w:val="24"/>
        <w:spacing w:val="-2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8"/>
        <w:spacing w:val="-2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pacing w:val="-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pacing w:val="-2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pacing w:val="-2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pacing w:val="-2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pacing w:val="-2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pacing w:val="-2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pacing w:val="-2"/>
        <w:szCs w:val="24"/>
      </w:rPr>
    </w:lvl>
  </w:abstractNum>
  <w:abstractNum w:abstractNumId="3">
    <w:lvl w:ilvl="0">
      <w:start w:val="1"/>
      <w:numFmt w:val="decimal"/>
      <w:lvlText w:val="3.1.%1."/>
      <w:lvlJc w:val="left"/>
      <w:pPr>
        <w:ind w:left="0" w:hanging="0"/>
      </w:pPr>
      <w:rPr>
        <w:sz w:val="28"/>
        <w:spacing w:val="-1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3.2.%1."/>
      <w:lvlJc w:val="left"/>
      <w:pPr>
        <w:ind w:left="0" w:hanging="0"/>
      </w:pPr>
      <w:rPr>
        <w:sz w:val="28"/>
        <w:spacing w:val="-1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3.3.%1."/>
      <w:lvlJc w:val="left"/>
      <w:pPr>
        <w:ind w:left="0" w:hanging="0"/>
      </w:pPr>
      <w:rPr>
        <w:sz w:val="28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4.%1."/>
      <w:lvlJc w:val="left"/>
      <w:pPr>
        <w:ind w:left="0" w:hanging="0"/>
      </w:pPr>
      <w:rPr>
        <w:sz w:val="22"/>
        <w:spacing w:val="-1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11z0" w:customStyle="1">
    <w:name w:val="WW8Num11z0"/>
    <w:qFormat/>
    <w:rPr>
      <w:sz w:val="24"/>
      <w:szCs w:val="24"/>
    </w:rPr>
  </w:style>
  <w:style w:type="character" w:styleId="WW8Num10z0" w:customStyle="1">
    <w:name w:val="WW8Num10z0"/>
    <w:qFormat/>
    <w:rPr>
      <w:spacing w:val="-2"/>
      <w:sz w:val="24"/>
      <w:szCs w:val="24"/>
    </w:rPr>
  </w:style>
  <w:style w:type="character" w:styleId="WW8Num6z0" w:customStyle="1">
    <w:name w:val="WW8Num6z0"/>
    <w:qFormat/>
    <w:rPr>
      <w:rFonts w:ascii="Times New Roman" w:hAnsi="Times New Roman" w:cs="Times New Roman"/>
      <w:spacing w:val="-1"/>
      <w:sz w:val="24"/>
      <w:szCs w:val="24"/>
    </w:rPr>
  </w:style>
  <w:style w:type="character" w:styleId="WW8Num7z0" w:customStyle="1">
    <w:name w:val="WW8Num7z0"/>
    <w:qFormat/>
    <w:rPr>
      <w:rFonts w:ascii="Times New Roman" w:hAnsi="Times New Roman" w:cs="Times New Roman"/>
      <w:spacing w:val="-1"/>
      <w:sz w:val="24"/>
      <w:szCs w:val="24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4z0" w:customStyle="1">
    <w:name w:val="WW8Num4z0"/>
    <w:qFormat/>
    <w:rPr>
      <w:rFonts w:ascii="Times New Roman" w:hAnsi="Times New Roman" w:cs="Times New Roman"/>
      <w:spacing w:val="-1"/>
      <w:sz w:val="24"/>
      <w:szCs w:val="24"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Style14">
    <w:name w:val="Посещённая гиперссылка"/>
    <w:qFormat/>
    <w:rPr>
      <w:color w:val="800080"/>
      <w:u w:val="single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ru-RU" w:eastAsia="zh-CN" w:bidi="hi-IN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8" w:customStyle="1">
    <w:name w:val="WW8Num8"/>
    <w:qFormat/>
  </w:style>
  <w:style w:type="numbering" w:styleId="WW8Num11" w:customStyle="1">
    <w:name w:val="WW8Num11"/>
    <w:qFormat/>
  </w:style>
  <w:style w:type="numbering" w:styleId="WW8Num10" w:customStyle="1">
    <w:name w:val="WW8Num10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LibreOffice/6.4.2.2$Windows_X86_64 LibreOffice_project/4e471d8c02c9c90f512f7f9ead8875b57fcb1ec3</Application>
  <Pages>3</Pages>
  <Words>517</Words>
  <Characters>4136</Characters>
  <CharactersWithSpaces>4734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2019-10-31T17:20:00Z</dcterms:created>
  <dc:creator/>
  <dc:description/>
  <dc:language>ru-RU</dc:language>
  <cp:lastModifiedBy/>
  <dcterms:modified xsi:type="dcterms:W3CDTF">2021-11-23T10:40:46Z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