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CA1373">
        <w:t>7</w:t>
      </w:r>
      <w:r>
        <w:t> года</w:t>
      </w:r>
      <w:r>
        <w:br/>
      </w:r>
    </w:p>
    <w:p w:rsidR="00AE5C77" w:rsidRDefault="00772381" w:rsidP="003A0F31">
      <w:pPr>
        <w:autoSpaceDE w:val="0"/>
        <w:ind w:firstLine="540"/>
        <w:jc w:val="both"/>
      </w:pPr>
      <w:r w:rsidRPr="00772381">
        <w:rPr>
          <w:b/>
        </w:rPr>
        <w:t>Конкурсный управляющий</w:t>
      </w:r>
      <w:r w:rsidRPr="00772381">
        <w:t xml:space="preserve"> Общество с ограниченной ответственностью «Петрометалл» </w:t>
      </w:r>
      <w:r w:rsidRPr="00384E55">
        <w:t xml:space="preserve">(ОГРН </w:t>
      </w:r>
      <w:r w:rsidRPr="00122731">
        <w:t>1037821033194</w:t>
      </w:r>
      <w:r>
        <w:t xml:space="preserve">; ИНН </w:t>
      </w:r>
      <w:r w:rsidRPr="00122731">
        <w:t>7810681150</w:t>
      </w:r>
      <w:r>
        <w:t xml:space="preserve">; место нахождения: </w:t>
      </w:r>
      <w:r w:rsidRPr="00122731">
        <w:t>196084, г.Санкт-Петербург, ул. Малая Митрофаньевская, д. 10, корп. 4, лит.А</w:t>
      </w:r>
      <w:r w:rsidRPr="00572B7D">
        <w:t>)</w:t>
      </w:r>
      <w:r w:rsidRPr="00C21391">
        <w:t xml:space="preserve"> </w:t>
      </w:r>
      <w:r w:rsidRPr="00772381">
        <w:rPr>
          <w:b/>
        </w:rPr>
        <w:t>Иванов Ю.А.</w:t>
      </w:r>
      <w:r w:rsidRPr="00772381">
        <w:rPr>
          <w:rFonts w:ascii="Arial" w:hAnsi="Arial" w:cs="Arial"/>
          <w:sz w:val="22"/>
          <w:szCs w:val="22"/>
        </w:rPr>
        <w:t xml:space="preserve"> </w:t>
      </w:r>
      <w:r w:rsidRPr="00772381">
        <w:t>ИНН 780616553637, СНИЛС 082-669-288-08, адрес для корреспонденции: 199397, г. Санкт-Петербург, а/я 221</w:t>
      </w:r>
      <w:r w:rsidR="00AE5C77">
        <w:t>, именуемое в дальнейшем «</w:t>
      </w:r>
      <w:r w:rsidR="00AE5C77">
        <w:rPr>
          <w:b/>
        </w:rPr>
        <w:t>Организатор Торгов</w:t>
      </w:r>
      <w:r w:rsidR="00AE5C77">
        <w:t>»,</w:t>
      </w:r>
      <w:r w:rsidR="00DF6024" w:rsidRPr="00DF6024">
        <w:rPr>
          <w:rFonts w:ascii="Arial" w:hAnsi="Arial" w:cs="Arial"/>
          <w:sz w:val="22"/>
          <w:szCs w:val="22"/>
        </w:rPr>
        <w:t xml:space="preserve"> </w:t>
      </w:r>
      <w:r w:rsidR="00DF6024" w:rsidRPr="00DF6024">
        <w:t>действующий по Решению Арбитражного суда Санкт-Петербурга и Ленинградской области от 07.08.2015 г. по делу №А56-33703/2015 и Определению Арбитражного суда Санкт-Петербурга и Ленинградской области от 23.12.2015 г. по тому же делу</w:t>
      </w:r>
      <w:r w:rsidR="00AE5C77">
        <w:t xml:space="preserve">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имущества</w:t>
      </w:r>
      <w:r w:rsidRPr="000F7F0E">
        <w:t xml:space="preserve"> </w:t>
      </w:r>
      <w:r w:rsidR="004376DD" w:rsidRPr="004376DD">
        <w:rPr>
          <w:rFonts w:cs="Verdana"/>
        </w:rPr>
        <w:t>ООО «Петрометалл»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В соответствии с условиями Договора Претендент на участие в торгах по продаже имущества Должника включенного в состав Лота № </w:t>
      </w:r>
      <w:r w:rsid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7723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="007723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723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A176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.00 (далее – Торги), объявление о которых было опубликовано в газете «Коммерсантъ» № </w:t>
      </w:r>
      <w:r w:rsidR="007723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112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7723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4.0</w:t>
      </w:r>
      <w:r w:rsidR="007723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6</w:t>
      </w:r>
      <w:r w:rsid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780301</w:t>
      </w:r>
      <w:r w:rsidR="007723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82379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</w:t>
      </w:r>
      <w:r w:rsidR="007723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специальный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расчетный счет ООО </w:t>
      </w:r>
      <w:r w:rsidRP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</w:t>
      </w:r>
      <w:r w:rsidR="00772381">
        <w:rPr>
          <w:rFonts w:ascii="Times New Roman" w:hAnsi="Times New Roman"/>
          <w:b w:val="0"/>
          <w:i w:val="0"/>
          <w:sz w:val="24"/>
          <w:szCs w:val="24"/>
        </w:rPr>
        <w:t>Петрометалл</w:t>
      </w:r>
      <w:r w:rsidRPr="00CA13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Default="00AE5C77" w:rsidP="00A060BC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CA1373" w:rsidRPr="009B2464">
        <w:t xml:space="preserve">ООО </w:t>
      </w:r>
      <w:r w:rsidR="00CA1373">
        <w:t>«</w:t>
      </w:r>
      <w:r w:rsidR="00772381">
        <w:t>Петрометалл</w:t>
      </w:r>
      <w:r w:rsidR="00CA1373">
        <w:t xml:space="preserve">»; </w:t>
      </w:r>
      <w:r w:rsidR="00772381" w:rsidRPr="00772381">
        <w:t>ИНН 7810681150, ОГРН 1037821033194</w:t>
      </w:r>
      <w:r w:rsidR="00CA1373">
        <w:t xml:space="preserve">; </w:t>
      </w:r>
      <w:r w:rsidR="00772381" w:rsidRPr="00772381">
        <w:t>р/с 40702810015000005343, филиал ОПЕРУ Банка ВТБ (ПАО) в Санкт-Петербурге, г. Санкт-Петербург, к/с 30101810200000000704, БИК 044030704</w:t>
      </w:r>
      <w:r w:rsidR="00CA1373">
        <w:t>.</w:t>
      </w:r>
    </w:p>
    <w:p w:rsidR="00AE5C77" w:rsidRDefault="00AE5C77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lastRenderedPageBreak/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Pr="00DF6024" w:rsidRDefault="00DF6024">
            <w:pPr>
              <w:jc w:val="both"/>
              <w:rPr>
                <w:b/>
              </w:rPr>
            </w:pPr>
            <w:r w:rsidRPr="00DF6024">
              <w:rPr>
                <w:b/>
              </w:rPr>
              <w:t>Конкурсный управляющий ООО «Петрометалл»</w:t>
            </w:r>
          </w:p>
          <w:p w:rsidR="00DF6024" w:rsidRPr="00DF6024" w:rsidRDefault="00DF6024">
            <w:pPr>
              <w:jc w:val="both"/>
            </w:pPr>
            <w:r w:rsidRPr="00DF6024">
              <w:rPr>
                <w:b/>
              </w:rPr>
              <w:t>Иванов Ю.А.</w:t>
            </w:r>
            <w:r w:rsidRPr="00DF6024">
              <w:t xml:space="preserve"> </w:t>
            </w:r>
          </w:p>
          <w:p w:rsidR="00DF6024" w:rsidRPr="00DF6024" w:rsidRDefault="00DF6024">
            <w:pPr>
              <w:jc w:val="both"/>
            </w:pPr>
            <w:r w:rsidRPr="00DF6024">
              <w:t>ИНН 780616553637, СНИЛС 082-669-288-08, адрес для корреспонденции: 199397, г. Санкт-Петербург, а/я 221), член НП АУ «Орион» (ОГРН 1117800001880, ИНН 7841017510, адрес: 191028, Санкт-Петербург, ул. Гагаринская, д. 25, литер А, пом. 6Н</w:t>
            </w:r>
          </w:p>
          <w:p w:rsidR="00DF6024" w:rsidRPr="00DF6024" w:rsidRDefault="00DF6024">
            <w:pPr>
              <w:jc w:val="both"/>
            </w:pPr>
          </w:p>
          <w:p w:rsidR="00DF6024" w:rsidRPr="00DF6024" w:rsidRDefault="00DF6024">
            <w:pPr>
              <w:jc w:val="both"/>
            </w:pPr>
            <w:r w:rsidRPr="00DF6024">
              <w:t>Реквизиты счета для перечисления Задатка: получатель — ООО «Петрометалл»; ИНН 7810681150, ОГРН 1037821033194; р/с 40702810015000005343, филиал ОПЕРУ Банка ВТБ (ПАО) в Санкт-Петербурге, г. Санкт-Петербург, к/с 30101810200000000704, БИК 044030704</w:t>
            </w:r>
          </w:p>
          <w:p w:rsidR="00CA1373" w:rsidRPr="00A060BC" w:rsidRDefault="00CA1373">
            <w:pPr>
              <w:jc w:val="both"/>
            </w:pP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A4" w:rsidRDefault="00521DA4">
      <w:r>
        <w:separator/>
      </w:r>
    </w:p>
  </w:endnote>
  <w:endnote w:type="continuationSeparator" w:id="1">
    <w:p w:rsidR="00521DA4" w:rsidRDefault="0052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EA" w:rsidRDefault="002F098F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34CEA" w:rsidRDefault="002F098F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B34CE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F602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A4" w:rsidRDefault="00521DA4">
      <w:r>
        <w:separator/>
      </w:r>
    </w:p>
  </w:footnote>
  <w:footnote w:type="continuationSeparator" w:id="1">
    <w:p w:rsidR="00521DA4" w:rsidRDefault="0052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4420A"/>
    <w:rsid w:val="00053D48"/>
    <w:rsid w:val="000805D0"/>
    <w:rsid w:val="000E2E24"/>
    <w:rsid w:val="000F7F0E"/>
    <w:rsid w:val="00107B30"/>
    <w:rsid w:val="00136B5F"/>
    <w:rsid w:val="00154C64"/>
    <w:rsid w:val="002F098F"/>
    <w:rsid w:val="003057CF"/>
    <w:rsid w:val="0031515B"/>
    <w:rsid w:val="0036078A"/>
    <w:rsid w:val="003A0F31"/>
    <w:rsid w:val="003F2C93"/>
    <w:rsid w:val="00403FDC"/>
    <w:rsid w:val="00414B75"/>
    <w:rsid w:val="0041693C"/>
    <w:rsid w:val="004376DD"/>
    <w:rsid w:val="00521DA4"/>
    <w:rsid w:val="00542649"/>
    <w:rsid w:val="00570CC0"/>
    <w:rsid w:val="0057655C"/>
    <w:rsid w:val="006738B5"/>
    <w:rsid w:val="00695940"/>
    <w:rsid w:val="00705105"/>
    <w:rsid w:val="00772381"/>
    <w:rsid w:val="00777614"/>
    <w:rsid w:val="007A66D0"/>
    <w:rsid w:val="007F4EB8"/>
    <w:rsid w:val="008F7666"/>
    <w:rsid w:val="0090599C"/>
    <w:rsid w:val="009768F4"/>
    <w:rsid w:val="00987C07"/>
    <w:rsid w:val="009D7353"/>
    <w:rsid w:val="00A060BC"/>
    <w:rsid w:val="00A1190B"/>
    <w:rsid w:val="00A17628"/>
    <w:rsid w:val="00A34E04"/>
    <w:rsid w:val="00A62341"/>
    <w:rsid w:val="00A84D0E"/>
    <w:rsid w:val="00AE5C77"/>
    <w:rsid w:val="00B22C21"/>
    <w:rsid w:val="00B34CEA"/>
    <w:rsid w:val="00BC1880"/>
    <w:rsid w:val="00BF2BA5"/>
    <w:rsid w:val="00C33DE8"/>
    <w:rsid w:val="00C5675D"/>
    <w:rsid w:val="00C728DA"/>
    <w:rsid w:val="00CA116A"/>
    <w:rsid w:val="00CA1373"/>
    <w:rsid w:val="00CD7568"/>
    <w:rsid w:val="00D05DE3"/>
    <w:rsid w:val="00D41514"/>
    <w:rsid w:val="00D74603"/>
    <w:rsid w:val="00DF6024"/>
    <w:rsid w:val="00EA11C0"/>
    <w:rsid w:val="00F249CF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Катюша</cp:lastModifiedBy>
  <cp:revision>14</cp:revision>
  <dcterms:created xsi:type="dcterms:W3CDTF">2015-04-16T10:43:00Z</dcterms:created>
  <dcterms:modified xsi:type="dcterms:W3CDTF">2017-07-02T17:44:00Z</dcterms:modified>
</cp:coreProperties>
</file>